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0B" w:rsidRDefault="00FE140B" w:rsidP="00FE14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780C22" w:rsidRPr="00096DE7" w:rsidRDefault="00FE140B" w:rsidP="00FE1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2BF46F" wp14:editId="034D3812">
            <wp:extent cx="2613660" cy="539115"/>
            <wp:effectExtent l="0" t="0" r="0" b="0"/>
            <wp:docPr id="1" name="Рисунок 1" descr="D:\работа\фонд микро\на диск\Logo Color Horiz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фонд микро\на диск\Logo Color Horizo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40B" w:rsidRDefault="00FE140B" w:rsidP="0078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E140B" w:rsidRPr="008C2C07" w:rsidRDefault="00FE140B" w:rsidP="00780C22">
      <w:pPr>
        <w:spacing w:after="0" w:line="240" w:lineRule="auto"/>
        <w:jc w:val="center"/>
        <w:rPr>
          <w:rFonts w:ascii="PT Sans" w:eastAsia="Times New Roman" w:hAnsi="PT Sans" w:cs="Times New Roman"/>
          <w:b/>
          <w:lang w:eastAsia="ru-RU"/>
        </w:rPr>
      </w:pPr>
    </w:p>
    <w:p w:rsidR="00450DA4" w:rsidRPr="00C25727" w:rsidRDefault="00450DA4" w:rsidP="00780C22">
      <w:pPr>
        <w:tabs>
          <w:tab w:val="center" w:pos="4779"/>
          <w:tab w:val="left" w:pos="6315"/>
        </w:tabs>
        <w:spacing w:after="0" w:line="240" w:lineRule="auto"/>
        <w:rPr>
          <w:rFonts w:ascii="PT Sans" w:eastAsia="Times New Roman" w:hAnsi="PT Sans" w:cs="Times New Roman"/>
          <w:b/>
          <w:sz w:val="24"/>
          <w:szCs w:val="24"/>
          <w:lang w:eastAsia="ru-RU"/>
        </w:rPr>
      </w:pPr>
    </w:p>
    <w:p w:rsidR="00A87704" w:rsidRPr="0042312A" w:rsidRDefault="00A87704" w:rsidP="00A87704">
      <w:pPr>
        <w:spacing w:after="0"/>
        <w:ind w:firstLine="540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42312A">
        <w:rPr>
          <w:rFonts w:ascii="PT Sans" w:eastAsia="Times New Roman" w:hAnsi="PT Sans" w:cs="Times New Roman"/>
          <w:sz w:val="24"/>
          <w:szCs w:val="24"/>
          <w:lang w:eastAsia="ru-RU"/>
        </w:rPr>
        <w:t>В соответствии с решением Наблюдательного совета о проведении открытого конкурса по отбору аудиторской организации или индивидуального аудитора на право заключения договора на проведение аудита бухгалтерской (финансовой) отчетности Фонда за 2023 год (Протокол № 28 от 07.12.2023 г.) и утвержденной конкурсной документацией, с «11» декабря 2023 года по «11» января  2024 года включительно, объявлен прием заявок на участие в открытом конкурсе Микрокредитной</w:t>
      </w:r>
      <w:proofErr w:type="gramEnd"/>
      <w:r w:rsidRPr="0042312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компании «Фонд микрофинансирования Тюменской области» (далее по тексту – Фонд).</w:t>
      </w:r>
    </w:p>
    <w:p w:rsidR="00A87704" w:rsidRPr="0042312A" w:rsidRDefault="00A87704" w:rsidP="00A87704">
      <w:pPr>
        <w:tabs>
          <w:tab w:val="num" w:pos="0"/>
        </w:tabs>
        <w:spacing w:after="0"/>
        <w:jc w:val="both"/>
        <w:rPr>
          <w:rFonts w:ascii="PT Sans" w:eastAsia="Times New Roman" w:hAnsi="PT Sans" w:cs="Times New Roman"/>
          <w:sz w:val="24"/>
          <w:szCs w:val="24"/>
          <w:u w:val="single"/>
          <w:lang w:eastAsia="ru-RU"/>
        </w:rPr>
      </w:pPr>
      <w:r w:rsidRPr="0042312A">
        <w:rPr>
          <w:rFonts w:ascii="PT Sans" w:eastAsia="Times New Roman" w:hAnsi="PT Sans" w:cs="Times New Roman"/>
          <w:sz w:val="24"/>
          <w:szCs w:val="24"/>
          <w:u w:val="single"/>
          <w:lang w:eastAsia="ru-RU"/>
        </w:rPr>
        <w:t>Предметом открытого конкурса является:</w:t>
      </w:r>
    </w:p>
    <w:p w:rsidR="00A87704" w:rsidRPr="0042312A" w:rsidRDefault="00A87704" w:rsidP="00A87704">
      <w:pPr>
        <w:spacing w:after="0"/>
        <w:ind w:firstLine="709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2312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Право заключения договора на проведение аудита бухгалтерской (финансовой) отчетности Микрокредитной компании «Фонд микрофинансирования Тюменской области», составленной по отраслевым стандартам бухгалтерского учета </w:t>
      </w:r>
      <w:proofErr w:type="spellStart"/>
      <w:r w:rsidRPr="0042312A">
        <w:rPr>
          <w:rFonts w:ascii="PT Sans" w:eastAsia="Times New Roman" w:hAnsi="PT Sans" w:cs="Times New Roman"/>
          <w:sz w:val="24"/>
          <w:szCs w:val="24"/>
          <w:lang w:eastAsia="ru-RU"/>
        </w:rPr>
        <w:t>некредитных</w:t>
      </w:r>
      <w:proofErr w:type="spellEnd"/>
      <w:r w:rsidRPr="0042312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финансовых организаций, за 2023 год, с выдачей аудиторского заключения и письменной информации (отчета) единоличному исполнительному органу Фонда за проверенный период.</w:t>
      </w:r>
    </w:p>
    <w:p w:rsidR="00450DA4" w:rsidRPr="00A87704" w:rsidRDefault="00450DA4" w:rsidP="00450DA4">
      <w:pPr>
        <w:ind w:firstLine="709"/>
        <w:contextualSpacing/>
        <w:jc w:val="both"/>
        <w:rPr>
          <w:rFonts w:ascii="PT Sans" w:hAnsi="PT Sans"/>
          <w:sz w:val="24"/>
          <w:szCs w:val="24"/>
        </w:rPr>
      </w:pPr>
      <w:r w:rsidRPr="00A87704">
        <w:rPr>
          <w:rFonts w:ascii="PT Sans" w:hAnsi="PT Sans"/>
          <w:sz w:val="24"/>
          <w:szCs w:val="24"/>
        </w:rPr>
        <w:t>По результатам вскрытия конвертов с заявками на участие, проведения оценки и сопоставления заявок в открытом конкурсе по отбору аудиторской организации или индивидуального аудитора на право заключения договора на проведение аудита бухгалтерской (финансовой) отчетности Фонда за 202</w:t>
      </w:r>
      <w:r w:rsidR="00A87704" w:rsidRPr="00A87704">
        <w:rPr>
          <w:rFonts w:ascii="PT Sans" w:hAnsi="PT Sans"/>
          <w:sz w:val="24"/>
          <w:szCs w:val="24"/>
        </w:rPr>
        <w:t>3</w:t>
      </w:r>
      <w:r w:rsidRPr="00A87704">
        <w:rPr>
          <w:rFonts w:ascii="PT Sans" w:hAnsi="PT Sans"/>
          <w:sz w:val="24"/>
          <w:szCs w:val="24"/>
        </w:rPr>
        <w:t xml:space="preserve"> год на основании протокола</w:t>
      </w:r>
      <w:r w:rsidR="00C25727" w:rsidRPr="00A87704">
        <w:rPr>
          <w:rFonts w:ascii="PT Sans" w:hAnsi="PT Sans"/>
          <w:sz w:val="24"/>
          <w:szCs w:val="24"/>
        </w:rPr>
        <w:t xml:space="preserve"> заседания Наблюдательного совета </w:t>
      </w:r>
      <w:r w:rsidRPr="00A87704">
        <w:rPr>
          <w:rFonts w:ascii="PT Sans" w:hAnsi="PT Sans"/>
          <w:sz w:val="24"/>
          <w:szCs w:val="24"/>
        </w:rPr>
        <w:t xml:space="preserve"> </w:t>
      </w:r>
      <w:r w:rsidR="00C25727" w:rsidRPr="00A87704">
        <w:rPr>
          <w:rFonts w:ascii="PT Sans" w:hAnsi="PT Sans"/>
          <w:sz w:val="24"/>
          <w:szCs w:val="24"/>
        </w:rPr>
        <w:t xml:space="preserve"> от «</w:t>
      </w:r>
      <w:r w:rsidR="00A87704" w:rsidRPr="00A87704">
        <w:rPr>
          <w:rFonts w:ascii="PT Sans" w:hAnsi="PT Sans"/>
          <w:sz w:val="24"/>
          <w:szCs w:val="24"/>
        </w:rPr>
        <w:t>16</w:t>
      </w:r>
      <w:r w:rsidR="00C25727" w:rsidRPr="00A87704">
        <w:rPr>
          <w:rFonts w:ascii="PT Sans" w:hAnsi="PT Sans"/>
          <w:sz w:val="24"/>
          <w:szCs w:val="24"/>
        </w:rPr>
        <w:t>» января 202</w:t>
      </w:r>
      <w:r w:rsidR="00A87704">
        <w:rPr>
          <w:rFonts w:ascii="PT Sans" w:hAnsi="PT Sans"/>
          <w:sz w:val="24"/>
          <w:szCs w:val="24"/>
        </w:rPr>
        <w:t>4</w:t>
      </w:r>
      <w:r w:rsidR="00C25727" w:rsidRPr="00A87704">
        <w:rPr>
          <w:rFonts w:ascii="PT Sans" w:hAnsi="PT Sans"/>
          <w:sz w:val="24"/>
          <w:szCs w:val="24"/>
        </w:rPr>
        <w:t xml:space="preserve"> г. № </w:t>
      </w:r>
      <w:r w:rsidR="00A87704" w:rsidRPr="00A87704">
        <w:rPr>
          <w:rFonts w:ascii="PT Sans" w:hAnsi="PT Sans"/>
          <w:sz w:val="24"/>
          <w:szCs w:val="24"/>
        </w:rPr>
        <w:t>2</w:t>
      </w:r>
      <w:r w:rsidR="00C25727" w:rsidRPr="00A87704">
        <w:rPr>
          <w:rFonts w:ascii="PT Sans" w:hAnsi="PT Sans"/>
          <w:sz w:val="24"/>
          <w:szCs w:val="24"/>
        </w:rPr>
        <w:t xml:space="preserve">  победителем открытого конкурса признано </w:t>
      </w:r>
      <w:r w:rsidR="00A87704" w:rsidRPr="00A87704">
        <w:rPr>
          <w:rFonts w:ascii="PT Sans" w:eastAsia="Times New Roman" w:hAnsi="PT Sans" w:cs="Times New Roman"/>
          <w:sz w:val="24"/>
          <w:szCs w:val="24"/>
          <w:lang w:eastAsia="ru-RU"/>
        </w:rPr>
        <w:t>обществом с ограниченной ответственностью «Аудиторско-Консалтинговая Группа «Листик и Партнеры» (ИНН 7701983954)</w:t>
      </w:r>
      <w:r w:rsidR="00A87704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</w:p>
    <w:p w:rsidR="00450DA4" w:rsidRPr="00C25727" w:rsidRDefault="00450DA4" w:rsidP="00450DA4">
      <w:pPr>
        <w:ind w:firstLine="540"/>
        <w:contextualSpacing/>
        <w:jc w:val="both"/>
        <w:rPr>
          <w:sz w:val="24"/>
          <w:szCs w:val="24"/>
        </w:rPr>
      </w:pPr>
    </w:p>
    <w:sectPr w:rsidR="00450DA4" w:rsidRPr="00C2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789"/>
    <w:multiLevelType w:val="hybridMultilevel"/>
    <w:tmpl w:val="E3CE0414"/>
    <w:lvl w:ilvl="0" w:tplc="07E656C8">
      <w:start w:val="1"/>
      <w:numFmt w:val="decimal"/>
      <w:lvlText w:val="%1."/>
      <w:lvlJc w:val="left"/>
      <w:pPr>
        <w:ind w:left="1093" w:hanging="360"/>
      </w:pPr>
    </w:lvl>
    <w:lvl w:ilvl="1" w:tplc="04190019">
      <w:start w:val="1"/>
      <w:numFmt w:val="lowerLetter"/>
      <w:lvlText w:val="%2."/>
      <w:lvlJc w:val="left"/>
      <w:pPr>
        <w:ind w:left="1813" w:hanging="360"/>
      </w:pPr>
    </w:lvl>
    <w:lvl w:ilvl="2" w:tplc="0419001B">
      <w:start w:val="1"/>
      <w:numFmt w:val="lowerRoman"/>
      <w:lvlText w:val="%3."/>
      <w:lvlJc w:val="right"/>
      <w:pPr>
        <w:ind w:left="2533" w:hanging="180"/>
      </w:pPr>
    </w:lvl>
    <w:lvl w:ilvl="3" w:tplc="0419000F">
      <w:start w:val="1"/>
      <w:numFmt w:val="decimal"/>
      <w:lvlText w:val="%4."/>
      <w:lvlJc w:val="left"/>
      <w:pPr>
        <w:ind w:left="3253" w:hanging="360"/>
      </w:pPr>
    </w:lvl>
    <w:lvl w:ilvl="4" w:tplc="04190019">
      <w:start w:val="1"/>
      <w:numFmt w:val="lowerLetter"/>
      <w:lvlText w:val="%5."/>
      <w:lvlJc w:val="left"/>
      <w:pPr>
        <w:ind w:left="3973" w:hanging="360"/>
      </w:pPr>
    </w:lvl>
    <w:lvl w:ilvl="5" w:tplc="0419001B">
      <w:start w:val="1"/>
      <w:numFmt w:val="lowerRoman"/>
      <w:lvlText w:val="%6."/>
      <w:lvlJc w:val="right"/>
      <w:pPr>
        <w:ind w:left="4693" w:hanging="180"/>
      </w:pPr>
    </w:lvl>
    <w:lvl w:ilvl="6" w:tplc="0419000F">
      <w:start w:val="1"/>
      <w:numFmt w:val="decimal"/>
      <w:lvlText w:val="%7."/>
      <w:lvlJc w:val="left"/>
      <w:pPr>
        <w:ind w:left="5413" w:hanging="360"/>
      </w:pPr>
    </w:lvl>
    <w:lvl w:ilvl="7" w:tplc="04190019">
      <w:start w:val="1"/>
      <w:numFmt w:val="lowerLetter"/>
      <w:lvlText w:val="%8."/>
      <w:lvlJc w:val="left"/>
      <w:pPr>
        <w:ind w:left="6133" w:hanging="360"/>
      </w:pPr>
    </w:lvl>
    <w:lvl w:ilvl="8" w:tplc="0419001B">
      <w:start w:val="1"/>
      <w:numFmt w:val="lowerRoman"/>
      <w:lvlText w:val="%9."/>
      <w:lvlJc w:val="right"/>
      <w:pPr>
        <w:ind w:left="6853" w:hanging="180"/>
      </w:pPr>
    </w:lvl>
  </w:abstractNum>
  <w:abstractNum w:abstractNumId="1">
    <w:nsid w:val="71AD4626"/>
    <w:multiLevelType w:val="hybridMultilevel"/>
    <w:tmpl w:val="E3CE0414"/>
    <w:lvl w:ilvl="0" w:tplc="07E656C8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22"/>
    <w:rsid w:val="00074286"/>
    <w:rsid w:val="00090F44"/>
    <w:rsid w:val="00120D35"/>
    <w:rsid w:val="00450DA4"/>
    <w:rsid w:val="00780C22"/>
    <w:rsid w:val="00867CA9"/>
    <w:rsid w:val="008C2C07"/>
    <w:rsid w:val="009A6E08"/>
    <w:rsid w:val="00A87704"/>
    <w:rsid w:val="00B679C8"/>
    <w:rsid w:val="00C25727"/>
    <w:rsid w:val="00FD362E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chmeleva_ea</dc:creator>
  <cp:lastModifiedBy>Sayfert_YuV</cp:lastModifiedBy>
  <cp:revision>2</cp:revision>
  <dcterms:created xsi:type="dcterms:W3CDTF">2024-01-18T12:42:00Z</dcterms:created>
  <dcterms:modified xsi:type="dcterms:W3CDTF">2024-01-18T12:42:00Z</dcterms:modified>
</cp:coreProperties>
</file>